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96D0" w14:textId="1D3D8944" w:rsidR="001C39B9" w:rsidRDefault="004F3D5E" w:rsidP="001C39B9">
      <w:pPr>
        <w:spacing w:beforeLines="50" w:before="156" w:afterLines="50" w:after="156" w:line="400" w:lineRule="exact"/>
        <w:jc w:val="center"/>
        <w:rPr>
          <w:rFonts w:ascii="方正小标宋简体" w:eastAsia="方正小标宋简体"/>
          <w:bCs/>
          <w:sz w:val="36"/>
          <w:szCs w:val="21"/>
        </w:rPr>
      </w:pPr>
      <w:r>
        <w:rPr>
          <w:rFonts w:ascii="方正小标宋简体" w:eastAsia="方正小标宋简体" w:hint="eastAsia"/>
          <w:bCs/>
          <w:kern w:val="0"/>
          <w:sz w:val="36"/>
          <w:szCs w:val="21"/>
        </w:rPr>
        <w:t>202</w:t>
      </w:r>
      <w:r w:rsidR="009811E8">
        <w:rPr>
          <w:rFonts w:ascii="方正小标宋简体" w:eastAsia="方正小标宋简体"/>
          <w:bCs/>
          <w:kern w:val="0"/>
          <w:sz w:val="36"/>
          <w:szCs w:val="21"/>
        </w:rPr>
        <w:t>5</w:t>
      </w:r>
      <w:r>
        <w:rPr>
          <w:rFonts w:ascii="方正小标宋简体" w:eastAsia="方正小标宋简体" w:hint="eastAsia"/>
          <w:bCs/>
          <w:kern w:val="0"/>
          <w:sz w:val="36"/>
          <w:szCs w:val="21"/>
        </w:rPr>
        <w:t>年度湖北省科学技术奖公示表（自然科学）</w:t>
      </w:r>
    </w:p>
    <w:p w14:paraId="6158868C" w14:textId="77777777" w:rsidR="001C39B9" w:rsidRDefault="001C39B9" w:rsidP="001C39B9">
      <w:pPr>
        <w:spacing w:beforeLines="50" w:before="156" w:afterLines="50" w:after="156" w:line="400" w:lineRule="exact"/>
        <w:jc w:val="center"/>
        <w:rPr>
          <w:rFonts w:ascii="方正小标宋简体" w:eastAsia="方正小标宋简体"/>
          <w:bCs/>
          <w:sz w:val="36"/>
          <w:szCs w:val="21"/>
        </w:rPr>
      </w:pPr>
      <w:r>
        <w:rPr>
          <w:rFonts w:ascii="方正仿宋_GBK" w:eastAsia="方正仿宋_GBK" w:hint="eastAsia"/>
          <w:sz w:val="28"/>
        </w:rPr>
        <w:t>项目名称、提名者及提名意见、项目简介、代表性论文专著目录、主要完成人（完成单位）</w:t>
      </w:r>
    </w:p>
    <w:tbl>
      <w:tblPr>
        <w:tblStyle w:val="a4"/>
        <w:tblW w:w="13637" w:type="dxa"/>
        <w:jc w:val="center"/>
        <w:tblCellMar>
          <w:left w:w="0" w:type="dxa"/>
          <w:right w:w="0" w:type="dxa"/>
        </w:tblCellMar>
        <w:tblLook w:val="04A0" w:firstRow="1" w:lastRow="0" w:firstColumn="1" w:lastColumn="0" w:noHBand="0" w:noVBand="1"/>
      </w:tblPr>
      <w:tblGrid>
        <w:gridCol w:w="2439"/>
        <w:gridCol w:w="11198"/>
      </w:tblGrid>
      <w:tr w:rsidR="001C39B9" w14:paraId="0FFA6D22" w14:textId="77777777" w:rsidTr="00D14190">
        <w:trPr>
          <w:trHeight w:val="476"/>
          <w:jc w:val="center"/>
        </w:trPr>
        <w:tc>
          <w:tcPr>
            <w:tcW w:w="2439" w:type="dxa"/>
            <w:vAlign w:val="center"/>
          </w:tcPr>
          <w:p w14:paraId="1C2E92A9" w14:textId="77777777" w:rsidR="001C39B9" w:rsidRDefault="001C39B9" w:rsidP="00537632">
            <w:pPr>
              <w:spacing w:line="240" w:lineRule="exact"/>
              <w:jc w:val="center"/>
              <w:rPr>
                <w:rFonts w:ascii="黑体" w:eastAsia="黑体" w:hAnsi="黑体" w:cs="黑体"/>
                <w:sz w:val="22"/>
              </w:rPr>
            </w:pPr>
            <w:r>
              <w:rPr>
                <w:rFonts w:ascii="黑体" w:eastAsia="黑体" w:hAnsi="黑体" w:cs="黑体" w:hint="eastAsia"/>
                <w:sz w:val="22"/>
              </w:rPr>
              <w:t>项目名称</w:t>
            </w:r>
          </w:p>
        </w:tc>
        <w:tc>
          <w:tcPr>
            <w:tcW w:w="11198" w:type="dxa"/>
            <w:vAlign w:val="center"/>
          </w:tcPr>
          <w:p w14:paraId="41BD2327" w14:textId="15B869CA" w:rsidR="001C39B9" w:rsidRDefault="004B3E1D" w:rsidP="00537632">
            <w:pPr>
              <w:spacing w:line="240" w:lineRule="exact"/>
              <w:jc w:val="center"/>
              <w:rPr>
                <w:rFonts w:ascii="黑体" w:eastAsia="黑体" w:hAnsi="黑体" w:cs="黑体"/>
                <w:sz w:val="21"/>
                <w:szCs w:val="21"/>
              </w:rPr>
            </w:pPr>
            <w:r>
              <w:rPr>
                <w:rFonts w:ascii="黑体" w:eastAsia="黑体" w:hAnsi="黑体" w:cs="黑体"/>
                <w:color w:val="000000"/>
                <w:sz w:val="21"/>
              </w:rPr>
              <w:t>深度学习模型的对抗攻击方法研究</w:t>
            </w:r>
          </w:p>
        </w:tc>
      </w:tr>
      <w:tr w:rsidR="001C39B9" w14:paraId="222613CB" w14:textId="77777777" w:rsidTr="00D14190">
        <w:trPr>
          <w:trHeight w:val="476"/>
          <w:jc w:val="center"/>
        </w:trPr>
        <w:tc>
          <w:tcPr>
            <w:tcW w:w="2439" w:type="dxa"/>
            <w:vAlign w:val="center"/>
          </w:tcPr>
          <w:p w14:paraId="15395C4A" w14:textId="77777777" w:rsidR="001C39B9" w:rsidRDefault="001C39B9" w:rsidP="00537632">
            <w:pPr>
              <w:spacing w:line="240" w:lineRule="exact"/>
              <w:jc w:val="center"/>
              <w:rPr>
                <w:rFonts w:ascii="黑体" w:eastAsia="黑体" w:hAnsi="黑体" w:cs="黑体"/>
                <w:sz w:val="22"/>
              </w:rPr>
            </w:pPr>
            <w:r>
              <w:rPr>
                <w:rFonts w:ascii="黑体" w:eastAsia="黑体" w:hAnsi="黑体" w:cs="黑体" w:hint="eastAsia"/>
                <w:sz w:val="22"/>
              </w:rPr>
              <w:t>提名单位</w:t>
            </w:r>
          </w:p>
        </w:tc>
        <w:tc>
          <w:tcPr>
            <w:tcW w:w="11198" w:type="dxa"/>
            <w:vAlign w:val="center"/>
          </w:tcPr>
          <w:p w14:paraId="5496396E" w14:textId="77777777" w:rsidR="001C39B9" w:rsidRDefault="001C39B9" w:rsidP="00537632">
            <w:pPr>
              <w:spacing w:line="240" w:lineRule="exact"/>
              <w:jc w:val="center"/>
              <w:rPr>
                <w:rFonts w:ascii="宋体" w:eastAsia="宋体" w:hAnsi="宋体" w:cs="宋体"/>
                <w:sz w:val="21"/>
                <w:szCs w:val="21"/>
              </w:rPr>
            </w:pPr>
            <w:r>
              <w:rPr>
                <w:rFonts w:ascii="宋体" w:eastAsia="宋体" w:hAnsi="宋体" w:cs="宋体" w:hint="eastAsia"/>
                <w:sz w:val="22"/>
                <w:szCs w:val="22"/>
              </w:rPr>
              <w:t>华中科技大学</w:t>
            </w:r>
          </w:p>
        </w:tc>
      </w:tr>
      <w:tr w:rsidR="001C39B9" w14:paraId="3EC7DD90" w14:textId="77777777" w:rsidTr="00D14190">
        <w:trPr>
          <w:trHeight w:val="1083"/>
          <w:jc w:val="center"/>
        </w:trPr>
        <w:tc>
          <w:tcPr>
            <w:tcW w:w="2439" w:type="dxa"/>
            <w:vAlign w:val="center"/>
          </w:tcPr>
          <w:p w14:paraId="29D21CA1" w14:textId="77777777" w:rsidR="001C39B9" w:rsidRDefault="001C39B9" w:rsidP="00537632">
            <w:pPr>
              <w:spacing w:line="240" w:lineRule="exact"/>
              <w:jc w:val="center"/>
              <w:rPr>
                <w:rFonts w:ascii="黑体" w:eastAsia="黑体" w:hAnsi="黑体" w:cs="黑体"/>
                <w:sz w:val="22"/>
              </w:rPr>
            </w:pPr>
            <w:r>
              <w:rPr>
                <w:rFonts w:ascii="黑体" w:eastAsia="黑体" w:hAnsi="黑体" w:cs="黑体" w:hint="eastAsia"/>
                <w:sz w:val="22"/>
              </w:rPr>
              <w:t>提名意见</w:t>
            </w:r>
          </w:p>
        </w:tc>
        <w:tc>
          <w:tcPr>
            <w:tcW w:w="11198" w:type="dxa"/>
            <w:vAlign w:val="center"/>
          </w:tcPr>
          <w:p w14:paraId="7CA103B5" w14:textId="691E11F5" w:rsidR="001C39B9" w:rsidRDefault="001C39B9" w:rsidP="00537632">
            <w:pPr>
              <w:spacing w:line="240" w:lineRule="exact"/>
              <w:ind w:firstLineChars="200" w:firstLine="448"/>
              <w:jc w:val="both"/>
              <w:rPr>
                <w:rFonts w:ascii="宋体" w:eastAsia="宋体" w:hAnsi="宋体" w:cs="宋体"/>
                <w:color w:val="000000"/>
                <w:sz w:val="21"/>
                <w:szCs w:val="21"/>
                <w:lang w:bidi="ar"/>
              </w:rPr>
            </w:pPr>
            <w:r w:rsidRPr="00036971">
              <w:rPr>
                <w:rFonts w:ascii="宋体" w:eastAsia="宋体" w:hAnsi="宋体" w:cs="宋体" w:hint="eastAsia"/>
                <w:color w:val="000000"/>
                <w:spacing w:val="2"/>
                <w:sz w:val="22"/>
                <w:szCs w:val="22"/>
                <w:lang w:bidi="ar"/>
              </w:rPr>
              <w:t>（</w:t>
            </w:r>
            <w:r w:rsidRPr="00036971">
              <w:rPr>
                <w:rFonts w:ascii="宋体" w:eastAsia="宋体" w:hAnsi="宋体" w:cs="宋体" w:hint="eastAsia"/>
                <w:color w:val="000000"/>
                <w:spacing w:val="2"/>
                <w:sz w:val="21"/>
                <w:szCs w:val="21"/>
                <w:lang w:bidi="ar"/>
              </w:rPr>
              <w:t>不超过600字，</w:t>
            </w:r>
            <w:r w:rsidR="00036971" w:rsidRPr="00036971">
              <w:rPr>
                <w:rFonts w:ascii="宋体" w:eastAsia="宋体" w:hAnsi="宋体" w:hint="eastAsia"/>
                <w:sz w:val="21"/>
                <w:szCs w:val="21"/>
              </w:rPr>
              <w:t>根据项目创造性特点，科学技术水平和应用情况并参照相应奖类条件写明提名理由和结论性意见，并填写提名意见和提名等级。</w:t>
            </w:r>
            <w:r w:rsidRPr="00036971">
              <w:rPr>
                <w:rFonts w:ascii="宋体" w:eastAsia="宋体" w:hAnsi="宋体" w:cs="宋体" w:hint="eastAsia"/>
                <w:color w:val="000000"/>
                <w:sz w:val="21"/>
                <w:szCs w:val="21"/>
                <w:lang w:bidi="ar"/>
              </w:rPr>
              <w:t>）</w:t>
            </w:r>
          </w:p>
          <w:p w14:paraId="637AF15C" w14:textId="77777777" w:rsidR="004B3E1D" w:rsidRPr="00036971" w:rsidRDefault="004B3E1D" w:rsidP="00537632">
            <w:pPr>
              <w:spacing w:line="240" w:lineRule="exact"/>
              <w:ind w:firstLineChars="200" w:firstLine="440"/>
              <w:jc w:val="both"/>
              <w:rPr>
                <w:rFonts w:ascii="宋体" w:eastAsia="宋体" w:hAnsi="宋体" w:cs="宋体"/>
                <w:color w:val="000000"/>
                <w:sz w:val="22"/>
                <w:lang w:bidi="ar"/>
              </w:rPr>
            </w:pPr>
          </w:p>
          <w:p w14:paraId="317C79AF" w14:textId="74524EB3" w:rsidR="004B3E1D" w:rsidRDefault="004B3E1D" w:rsidP="004B3E1D">
            <w:pPr>
              <w:spacing w:line="240" w:lineRule="exact"/>
              <w:ind w:firstLineChars="200" w:firstLine="420"/>
              <w:jc w:val="both"/>
              <w:rPr>
                <w:rFonts w:ascii="宋体" w:eastAsia="宋体" w:hAnsi="宋体" w:cs="宋体"/>
                <w:color w:val="0D0D0D"/>
                <w:sz w:val="21"/>
              </w:rPr>
            </w:pPr>
            <w:r>
              <w:rPr>
                <w:rFonts w:ascii="宋体" w:eastAsia="宋体" w:hAnsi="宋体" w:cs="宋体"/>
                <w:color w:val="0D0D0D"/>
                <w:sz w:val="21"/>
              </w:rPr>
              <w:t>项目针对深度学习模型部署推广所面临的安全可靠性问题，在国家自然科学基金等项目的支持下，在深度学习模型对样本生成的科学问题上进行深入探索，揭示了计算机视觉、自然语言处理领域</w:t>
            </w:r>
            <w:r w:rsidR="008F77DB">
              <w:rPr>
                <w:rFonts w:ascii="宋体" w:eastAsia="宋体" w:hAnsi="宋体" w:cs="宋体" w:hint="eastAsia"/>
                <w:color w:val="0D0D0D"/>
                <w:sz w:val="21"/>
              </w:rPr>
              <w:t>的</w:t>
            </w:r>
            <w:r>
              <w:rPr>
                <w:rFonts w:ascii="宋体" w:eastAsia="宋体" w:hAnsi="宋体" w:cs="宋体"/>
                <w:color w:val="0D0D0D"/>
                <w:sz w:val="21"/>
              </w:rPr>
              <w:t>对抗样本生成机理，为发展安全鲁棒的深度学习模型及其可信落地奠定了坚实的基础。主要贡献包括：在计算机视觉领域</w:t>
            </w:r>
            <w:r w:rsidR="008F77DB">
              <w:rPr>
                <w:rFonts w:ascii="宋体" w:eastAsia="宋体" w:hAnsi="宋体" w:cs="宋体" w:hint="eastAsia"/>
                <w:color w:val="0D0D0D"/>
                <w:sz w:val="21"/>
              </w:rPr>
              <w:t>，</w:t>
            </w:r>
            <w:r>
              <w:rPr>
                <w:rFonts w:ascii="宋体" w:eastAsia="宋体" w:hAnsi="宋体" w:cs="宋体"/>
                <w:color w:val="0D0D0D"/>
                <w:sz w:val="21"/>
              </w:rPr>
              <w:t>提出了放缩不变的对抗攻击方法和基于方差缩减的对抗攻击迁移方法，显著提高了对抗迁移攻击的成功率；在自然语言处理领域，探索了因文本与图像的不同所带来的对抗样本概念差别，定义了基于单词离散空间和考虑语义相似性的文本对抗样本的概念，建立了基于同义词替换的文本分类深度模型的对抗攻击框架并设计了基于</w:t>
            </w:r>
            <w:r>
              <w:rPr>
                <w:rFonts w:ascii="宋体" w:eastAsia="宋体" w:hAnsi="宋体" w:cs="宋体" w:hint="eastAsia"/>
                <w:color w:val="0D0D0D"/>
                <w:sz w:val="21"/>
              </w:rPr>
              <w:t>单</w:t>
            </w:r>
            <w:r>
              <w:rPr>
                <w:rFonts w:ascii="宋体" w:eastAsia="宋体" w:hAnsi="宋体" w:cs="宋体"/>
                <w:color w:val="0D0D0D"/>
                <w:sz w:val="21"/>
              </w:rPr>
              <w:t>词显著</w:t>
            </w:r>
            <w:r>
              <w:rPr>
                <w:rFonts w:ascii="宋体" w:eastAsia="宋体" w:hAnsi="宋体" w:cs="宋体" w:hint="eastAsia"/>
                <w:color w:val="0D0D0D"/>
                <w:sz w:val="21"/>
              </w:rPr>
              <w:t>性</w:t>
            </w:r>
            <w:r>
              <w:rPr>
                <w:rFonts w:ascii="宋体" w:eastAsia="宋体" w:hAnsi="宋体" w:cs="宋体"/>
                <w:color w:val="0D0D0D"/>
                <w:sz w:val="21"/>
              </w:rPr>
              <w:t>的黑盒对抗攻击算法。上述研究成果获得了国际学术界的广泛认可，并且被广泛引用，</w:t>
            </w:r>
            <w:r w:rsidR="00306DEB" w:rsidRPr="00306DEB">
              <w:rPr>
                <w:rFonts w:ascii="宋体" w:eastAsia="宋体" w:hAnsi="宋体" w:cs="宋体" w:hint="eastAsia"/>
                <w:color w:val="0D0D0D"/>
                <w:sz w:val="21"/>
              </w:rPr>
              <w:t>5篇代表作的谷歌学术引用2200余次、WOS核心合集他引1000余次、CNKI总他引1043次、单篇最高引用</w:t>
            </w:r>
            <w:r w:rsidR="00306DEB" w:rsidRPr="0041236A">
              <w:rPr>
                <w:rFonts w:ascii="宋体" w:eastAsia="宋体" w:hAnsi="宋体" w:cs="宋体" w:hint="eastAsia"/>
                <w:color w:val="000000" w:themeColor="text1"/>
                <w:sz w:val="21"/>
              </w:rPr>
              <w:t>8</w:t>
            </w:r>
            <w:r w:rsidR="008F77DB" w:rsidRPr="0041236A">
              <w:rPr>
                <w:rFonts w:ascii="宋体" w:eastAsia="宋体" w:hAnsi="宋体" w:cs="宋体"/>
                <w:color w:val="000000" w:themeColor="text1"/>
                <w:sz w:val="21"/>
              </w:rPr>
              <w:t>4</w:t>
            </w:r>
            <w:r w:rsidR="00395F94" w:rsidRPr="0041236A">
              <w:rPr>
                <w:rFonts w:ascii="宋体" w:eastAsia="宋体" w:hAnsi="宋体" w:cs="宋体"/>
                <w:color w:val="000000" w:themeColor="text1"/>
                <w:sz w:val="21"/>
              </w:rPr>
              <w:t>8</w:t>
            </w:r>
            <w:r w:rsidR="00306DEB" w:rsidRPr="00306DEB">
              <w:rPr>
                <w:rFonts w:ascii="宋体" w:eastAsia="宋体" w:hAnsi="宋体" w:cs="宋体" w:hint="eastAsia"/>
                <w:color w:val="0D0D0D"/>
                <w:sz w:val="21"/>
              </w:rPr>
              <w:t>次</w:t>
            </w:r>
            <w:r>
              <w:rPr>
                <w:rFonts w:ascii="宋体" w:eastAsia="宋体" w:hAnsi="宋体" w:cs="宋体"/>
                <w:color w:val="0D0D0D"/>
                <w:sz w:val="21"/>
              </w:rPr>
              <w:t>；所提出的对抗攻击方法已成为深度学习模型鲁棒性研究的重要测试基准。项目成果被ARES、CANARY、</w:t>
            </w:r>
            <w:proofErr w:type="spellStart"/>
            <w:r>
              <w:rPr>
                <w:rFonts w:ascii="宋体" w:eastAsia="宋体" w:hAnsi="宋体" w:cs="宋体"/>
                <w:color w:val="0D0D0D"/>
                <w:sz w:val="21"/>
              </w:rPr>
              <w:t>OpenAttack</w:t>
            </w:r>
            <w:proofErr w:type="spellEnd"/>
            <w:r>
              <w:rPr>
                <w:rFonts w:ascii="宋体" w:eastAsia="宋体" w:hAnsi="宋体" w:cs="宋体"/>
                <w:color w:val="0D0D0D"/>
                <w:sz w:val="21"/>
              </w:rPr>
              <w:t>等多个对抗攻防鲁棒性评测平台整合；作为核心成员，参与IEEE关于模型鲁棒性测试与评估标准的制定。第一完成人多次受邀做相关大会报告。</w:t>
            </w:r>
          </w:p>
          <w:p w14:paraId="481831F0" w14:textId="0F54EF9E" w:rsidR="001C39B9" w:rsidRDefault="001C39B9" w:rsidP="00537632">
            <w:pPr>
              <w:spacing w:line="240" w:lineRule="exact"/>
              <w:jc w:val="both"/>
              <w:rPr>
                <w:rFonts w:ascii="宋体" w:eastAsia="宋体" w:hAnsi="宋体" w:cs="宋体"/>
                <w:bCs/>
                <w:color w:val="000000"/>
                <w:sz w:val="22"/>
                <w:lang w:bidi="ar"/>
              </w:rPr>
            </w:pPr>
          </w:p>
          <w:p w14:paraId="63408F57" w14:textId="7BEBB9E0" w:rsidR="001C39B9" w:rsidRDefault="001C39B9" w:rsidP="009651CD">
            <w:pPr>
              <w:spacing w:line="240" w:lineRule="exact"/>
              <w:ind w:firstLineChars="200" w:firstLine="440"/>
              <w:jc w:val="both"/>
              <w:rPr>
                <w:rFonts w:ascii="宋体" w:eastAsia="宋体" w:hAnsi="宋体" w:cs="宋体"/>
                <w:bCs/>
                <w:color w:val="000000"/>
                <w:sz w:val="21"/>
                <w:szCs w:val="21"/>
                <w:lang w:bidi="ar"/>
              </w:rPr>
            </w:pPr>
            <w:r>
              <w:rPr>
                <w:rFonts w:ascii="宋体" w:eastAsia="宋体" w:hAnsi="宋体" w:cs="宋体" w:hint="eastAsia"/>
                <w:bCs/>
                <w:color w:val="000000"/>
                <w:sz w:val="22"/>
                <w:szCs w:val="22"/>
                <w:lang w:bidi="ar"/>
              </w:rPr>
              <w:t>提名该项目为202</w:t>
            </w:r>
            <w:r w:rsidR="00FE427B">
              <w:rPr>
                <w:rFonts w:ascii="宋体" w:eastAsia="宋体" w:hAnsi="宋体" w:cs="宋体"/>
                <w:bCs/>
                <w:color w:val="000000"/>
                <w:sz w:val="22"/>
                <w:szCs w:val="22"/>
                <w:lang w:bidi="ar"/>
              </w:rPr>
              <w:t>3</w:t>
            </w:r>
            <w:r>
              <w:rPr>
                <w:rFonts w:ascii="宋体" w:eastAsia="宋体" w:hAnsi="宋体" w:cs="宋体" w:hint="eastAsia"/>
                <w:bCs/>
                <w:color w:val="000000"/>
                <w:sz w:val="22"/>
                <w:szCs w:val="22"/>
                <w:lang w:bidi="ar"/>
              </w:rPr>
              <w:t>年度湖北省自然科学奖</w:t>
            </w:r>
            <w:r>
              <w:rPr>
                <w:rFonts w:ascii="宋体" w:eastAsia="宋体" w:hAnsi="宋体" w:cs="宋体" w:hint="eastAsia"/>
                <w:bCs/>
                <w:color w:val="000000"/>
                <w:sz w:val="22"/>
                <w:szCs w:val="22"/>
                <w:u w:val="single"/>
                <w:lang w:bidi="ar"/>
              </w:rPr>
              <w:t xml:space="preserve">     </w:t>
            </w:r>
            <w:r w:rsidR="00306DEB">
              <w:rPr>
                <w:rFonts w:ascii="宋体" w:eastAsia="宋体" w:hAnsi="宋体" w:cs="宋体" w:hint="eastAsia"/>
                <w:bCs/>
                <w:color w:val="000000"/>
                <w:sz w:val="22"/>
                <w:szCs w:val="22"/>
                <w:u w:val="single"/>
                <w:lang w:bidi="ar"/>
              </w:rPr>
              <w:t>一</w:t>
            </w:r>
            <w:r>
              <w:rPr>
                <w:rFonts w:ascii="宋体" w:eastAsia="宋体" w:hAnsi="宋体" w:cs="宋体" w:hint="eastAsia"/>
                <w:bCs/>
                <w:color w:val="000000"/>
                <w:sz w:val="22"/>
                <w:szCs w:val="22"/>
                <w:u w:val="single"/>
                <w:lang w:bidi="ar"/>
              </w:rPr>
              <w:t xml:space="preserve">      </w:t>
            </w:r>
            <w:r>
              <w:rPr>
                <w:rFonts w:ascii="宋体" w:eastAsia="宋体" w:hAnsi="宋体" w:cs="宋体" w:hint="eastAsia"/>
                <w:bCs/>
                <w:color w:val="000000"/>
                <w:sz w:val="22"/>
                <w:szCs w:val="22"/>
                <w:lang w:bidi="ar"/>
              </w:rPr>
              <w:t>等奖</w:t>
            </w:r>
          </w:p>
        </w:tc>
      </w:tr>
      <w:tr w:rsidR="001C39B9" w14:paraId="00E53F18" w14:textId="77777777" w:rsidTr="00D14190">
        <w:trPr>
          <w:trHeight w:val="476"/>
          <w:jc w:val="center"/>
        </w:trPr>
        <w:tc>
          <w:tcPr>
            <w:tcW w:w="2439" w:type="dxa"/>
            <w:vAlign w:val="center"/>
          </w:tcPr>
          <w:p w14:paraId="148BB8CE" w14:textId="77777777" w:rsidR="001C39B9" w:rsidRDefault="001C39B9" w:rsidP="00537632">
            <w:pPr>
              <w:spacing w:line="240" w:lineRule="exact"/>
              <w:jc w:val="center"/>
              <w:rPr>
                <w:sz w:val="22"/>
              </w:rPr>
            </w:pPr>
            <w:r>
              <w:rPr>
                <w:rFonts w:ascii="黑体" w:eastAsia="黑体" w:hAnsi="黑体" w:cs="黑体" w:hint="eastAsia"/>
                <w:sz w:val="22"/>
              </w:rPr>
              <w:t>项目简介</w:t>
            </w:r>
          </w:p>
        </w:tc>
        <w:tc>
          <w:tcPr>
            <w:tcW w:w="11198" w:type="dxa"/>
            <w:vAlign w:val="center"/>
          </w:tcPr>
          <w:p w14:paraId="4D6E89CC" w14:textId="77777777" w:rsidR="00C8268B" w:rsidRDefault="00C8268B" w:rsidP="00C8268B">
            <w:pPr>
              <w:spacing w:line="240" w:lineRule="exact"/>
              <w:jc w:val="both"/>
              <w:rPr>
                <w:rFonts w:ascii="宋体" w:eastAsia="宋体" w:hAnsi="宋体" w:cs="宋体"/>
                <w:color w:val="0D0D0D"/>
                <w:sz w:val="21"/>
              </w:rPr>
            </w:pPr>
            <w:r>
              <w:rPr>
                <w:rFonts w:ascii="宋体" w:eastAsia="宋体" w:hAnsi="宋体" w:cs="宋体"/>
                <w:color w:val="0D0D0D"/>
                <w:sz w:val="21"/>
              </w:rPr>
              <w:t>本项目属于计算机科学技术领域。</w:t>
            </w:r>
          </w:p>
          <w:p w14:paraId="24A94495" w14:textId="77777777" w:rsidR="00C8268B" w:rsidRDefault="00C8268B" w:rsidP="00C8268B">
            <w:pPr>
              <w:spacing w:line="240" w:lineRule="exact"/>
              <w:ind w:firstLineChars="200" w:firstLine="420"/>
              <w:jc w:val="both"/>
              <w:rPr>
                <w:rFonts w:ascii="宋体" w:eastAsia="宋体" w:hAnsi="宋体" w:cs="宋体"/>
                <w:color w:val="0D0D0D"/>
                <w:sz w:val="21"/>
              </w:rPr>
            </w:pPr>
            <w:r>
              <w:rPr>
                <w:rFonts w:ascii="宋体" w:eastAsia="宋体" w:hAnsi="宋体" w:cs="宋体"/>
                <w:color w:val="0D0D0D"/>
                <w:sz w:val="21"/>
              </w:rPr>
              <w:t>深度学习模型因其极高的性能已获得广泛的应用。然而，若在原始样本数据中添加人类难以察觉的某种扰动，便能欺骗深度学习模型使之输出错误的结果。深度学习模型的安全性问题倍受业界关注，如何有效生成对抗样本以测试模型鲁棒性，从而进一步提升其安全、可信性，已成为当今业界的焦点。在国家自然科学基金等多项重要课题的支持下，本团队经过多年的积累、研究与探索，在图像识别与文本分类等深度学习模型核心应用场景中的对抗样本生成方面取得了多项突破，解决了深度学习模型对抗攻击中的若干关键科学问题，建立了深度学习对抗攻击技术体系与安全评价体系。主要成果包括：</w:t>
            </w:r>
          </w:p>
          <w:p w14:paraId="0CB8CA12" w14:textId="77777777" w:rsidR="00C8268B" w:rsidRDefault="00C8268B" w:rsidP="00C8268B">
            <w:pPr>
              <w:spacing w:line="240" w:lineRule="exact"/>
              <w:jc w:val="both"/>
              <w:rPr>
                <w:rFonts w:ascii="宋体" w:eastAsia="宋体" w:hAnsi="宋体" w:cs="宋体"/>
                <w:color w:val="0D0D0D"/>
                <w:sz w:val="21"/>
              </w:rPr>
            </w:pPr>
            <w:r>
              <w:rPr>
                <w:rFonts w:ascii="宋体" w:eastAsia="宋体" w:hAnsi="宋体" w:cs="宋体"/>
                <w:color w:val="0D0D0D"/>
                <w:sz w:val="21"/>
              </w:rPr>
              <w:t xml:space="preserve">    （1）基于Nesterov梯度优化和放缩不变性的对抗攻击方法</w:t>
            </w:r>
          </w:p>
          <w:p w14:paraId="282CC206" w14:textId="6501B103" w:rsidR="00C8268B" w:rsidRDefault="00C8268B" w:rsidP="00C8268B">
            <w:pPr>
              <w:spacing w:line="240" w:lineRule="exact"/>
              <w:ind w:firstLineChars="200" w:firstLine="420"/>
              <w:jc w:val="both"/>
              <w:rPr>
                <w:rFonts w:ascii="宋体" w:eastAsia="宋体" w:hAnsi="宋体" w:cs="宋体"/>
                <w:color w:val="0D0D0D"/>
                <w:sz w:val="21"/>
              </w:rPr>
            </w:pPr>
            <w:r>
              <w:rPr>
                <w:rFonts w:ascii="宋体" w:eastAsia="宋体" w:hAnsi="宋体" w:cs="宋体"/>
                <w:color w:val="0D0D0D"/>
                <w:sz w:val="21"/>
              </w:rPr>
              <w:t>发现了梯度累积的重要性和图像对模型分类的伸缩不变性，首次将对抗样本生成过程与模型标准训练过程进行类比分析并被业界广泛接受，分别提出基于Nesterov梯度优化和图像伸缩不变性的数据增强对抗攻击方法，利用当前样本点的梯</w:t>
            </w:r>
            <w:r>
              <w:rPr>
                <w:rFonts w:ascii="宋体" w:eastAsia="宋体" w:hAnsi="宋体" w:cs="宋体"/>
                <w:color w:val="0D0D0D"/>
                <w:sz w:val="21"/>
              </w:rPr>
              <w:lastRenderedPageBreak/>
              <w:t>度向前优化下一步生成的梯度并对图像进行放缩生成多个副本，增强了黑盒攻击的迁移攻击成功率。被中国科学院院士谭铁牛</w:t>
            </w:r>
            <w:r w:rsidR="008F77DB">
              <w:rPr>
                <w:rFonts w:ascii="宋体" w:eastAsia="宋体" w:hAnsi="宋体" w:cs="宋体" w:hint="eastAsia"/>
                <w:color w:val="0D0D0D"/>
                <w:sz w:val="21"/>
              </w:rPr>
              <w:t>及多位IEEE会士</w:t>
            </w:r>
            <w:r>
              <w:rPr>
                <w:rFonts w:ascii="宋体" w:eastAsia="宋体" w:hAnsi="宋体" w:cs="宋体"/>
                <w:color w:val="0D0D0D"/>
                <w:sz w:val="21"/>
              </w:rPr>
              <w:t>等正面引用。</w:t>
            </w:r>
          </w:p>
          <w:p w14:paraId="581C1D78" w14:textId="77777777" w:rsidR="00C8268B" w:rsidRDefault="00C8268B" w:rsidP="00C8268B">
            <w:pPr>
              <w:spacing w:line="240" w:lineRule="exact"/>
              <w:jc w:val="both"/>
              <w:rPr>
                <w:rFonts w:ascii="宋体" w:eastAsia="宋体" w:hAnsi="宋体" w:cs="宋体"/>
                <w:color w:val="0D0D0D"/>
                <w:sz w:val="21"/>
              </w:rPr>
            </w:pPr>
            <w:r>
              <w:rPr>
                <w:rFonts w:ascii="宋体" w:eastAsia="宋体" w:hAnsi="宋体" w:cs="宋体"/>
                <w:color w:val="0D0D0D"/>
                <w:sz w:val="21"/>
              </w:rPr>
              <w:t xml:space="preserve">    （2）基于方差缩减的对抗攻击迁移性方法</w:t>
            </w:r>
          </w:p>
          <w:p w14:paraId="49A374C3" w14:textId="0E381CAA" w:rsidR="00C8268B" w:rsidRDefault="00C8268B" w:rsidP="00C8268B">
            <w:pPr>
              <w:spacing w:line="240" w:lineRule="exact"/>
              <w:ind w:firstLineChars="200" w:firstLine="420"/>
              <w:jc w:val="both"/>
              <w:rPr>
                <w:rFonts w:ascii="宋体" w:eastAsia="宋体" w:hAnsi="宋体" w:cs="宋体"/>
                <w:color w:val="0D0D0D"/>
                <w:sz w:val="21"/>
              </w:rPr>
            </w:pPr>
            <w:r>
              <w:rPr>
                <w:rFonts w:ascii="宋体" w:eastAsia="宋体" w:hAnsi="宋体" w:cs="宋体"/>
                <w:color w:val="0D0D0D"/>
                <w:sz w:val="21"/>
              </w:rPr>
              <w:t>发现了生成对抗样本的过程中，生成的梯度存在方差较大的现象，首次提出通过在对抗样本点周围采样的方式，利用采样点的平均梯度生成对抗扰动，从而生成方向更加准确的梯度，提高了对抗迁移攻击的成功率。同时，该方法能够与现有的其他梯度优化和数据增强对抗攻击方法相结合。被</w:t>
            </w:r>
            <w:r w:rsidR="008F77DB">
              <w:rPr>
                <w:rFonts w:ascii="宋体" w:eastAsia="宋体" w:hAnsi="宋体" w:cs="宋体" w:hint="eastAsia"/>
                <w:color w:val="0D0D0D"/>
                <w:sz w:val="21"/>
              </w:rPr>
              <w:t>多位</w:t>
            </w:r>
            <w:r>
              <w:rPr>
                <w:rFonts w:ascii="宋体" w:eastAsia="宋体" w:hAnsi="宋体" w:cs="宋体"/>
                <w:color w:val="0D0D0D"/>
                <w:sz w:val="21"/>
              </w:rPr>
              <w:t>IEEE会士等</w:t>
            </w:r>
            <w:r w:rsidR="008F77DB">
              <w:rPr>
                <w:rFonts w:ascii="宋体" w:eastAsia="宋体" w:hAnsi="宋体" w:cs="宋体" w:hint="eastAsia"/>
                <w:color w:val="0D0D0D"/>
                <w:sz w:val="21"/>
              </w:rPr>
              <w:t>正面</w:t>
            </w:r>
            <w:r>
              <w:rPr>
                <w:rFonts w:ascii="宋体" w:eastAsia="宋体" w:hAnsi="宋体" w:cs="宋体"/>
                <w:color w:val="0D0D0D"/>
                <w:sz w:val="21"/>
              </w:rPr>
              <w:t>引用。</w:t>
            </w:r>
          </w:p>
          <w:p w14:paraId="1EC33376" w14:textId="77777777" w:rsidR="00C8268B" w:rsidRDefault="00C8268B" w:rsidP="00C8268B">
            <w:pPr>
              <w:spacing w:line="240" w:lineRule="exact"/>
              <w:jc w:val="both"/>
              <w:rPr>
                <w:rFonts w:ascii="宋体" w:eastAsia="宋体" w:hAnsi="宋体" w:cs="宋体"/>
                <w:color w:val="0D0D0D"/>
                <w:sz w:val="21"/>
              </w:rPr>
            </w:pPr>
            <w:r>
              <w:rPr>
                <w:rFonts w:ascii="宋体" w:eastAsia="宋体" w:hAnsi="宋体" w:cs="宋体"/>
                <w:color w:val="0D0D0D"/>
                <w:sz w:val="21"/>
              </w:rPr>
              <w:t xml:space="preserve">    （3）基于单词显著</w:t>
            </w:r>
            <w:r>
              <w:rPr>
                <w:rFonts w:ascii="宋体" w:eastAsia="宋体" w:hAnsi="宋体" w:cs="宋体" w:hint="eastAsia"/>
                <w:color w:val="0D0D0D"/>
                <w:sz w:val="21"/>
              </w:rPr>
              <w:t>性</w:t>
            </w:r>
            <w:r>
              <w:rPr>
                <w:rFonts w:ascii="宋体" w:eastAsia="宋体" w:hAnsi="宋体" w:cs="宋体"/>
                <w:color w:val="0D0D0D"/>
                <w:sz w:val="21"/>
              </w:rPr>
              <w:t>的文本分类深度学习模型对抗攻击方法</w:t>
            </w:r>
          </w:p>
          <w:p w14:paraId="4199E872" w14:textId="37458A50" w:rsidR="00C8268B" w:rsidRDefault="00C8268B" w:rsidP="00C8268B">
            <w:pPr>
              <w:spacing w:line="240" w:lineRule="exact"/>
              <w:ind w:firstLineChars="200" w:firstLine="420"/>
              <w:jc w:val="both"/>
              <w:rPr>
                <w:rFonts w:ascii="宋体" w:eastAsia="宋体" w:hAnsi="宋体" w:cs="宋体"/>
                <w:color w:val="0D0D0D"/>
                <w:sz w:val="21"/>
              </w:rPr>
            </w:pPr>
            <w:r>
              <w:rPr>
                <w:rFonts w:ascii="宋体" w:eastAsia="宋体" w:hAnsi="宋体" w:cs="宋体"/>
                <w:color w:val="0D0D0D"/>
                <w:sz w:val="21"/>
              </w:rPr>
              <w:t>团队在自然语言处理领域有着深厚的积累，构造了实体关系自动抽取方法及语言处理技术平台，建立了基于词汇联想网络与实体关系词替换的隐蔽攻击方法。由于文本的离散性质和语义约束，与图像数据存在显著差异，其对抗样本的定义、对抗攻击与防御算法需要独立设计。作为最早研究文本对抗样本的少数团队，明确了文本对抗样本与图像对抗样本的区别与联系，完善了文本对抗样本的定义，提出了基于单词显著性的同义词替换攻击算法。该工作发表在ACL Oral，是文本对抗领域的早期、奠基性工作和模型鲁棒性的公认评估方法，被</w:t>
            </w:r>
            <w:r w:rsidR="008F77DB" w:rsidRPr="0041236A">
              <w:rPr>
                <w:rFonts w:ascii="宋体" w:eastAsia="宋体" w:hAnsi="宋体" w:cs="宋体" w:hint="eastAsia"/>
                <w:color w:val="000000" w:themeColor="text1"/>
                <w:sz w:val="21"/>
              </w:rPr>
              <w:t>多位</w:t>
            </w:r>
            <w:r w:rsidRPr="0041236A">
              <w:rPr>
                <w:rFonts w:ascii="宋体" w:eastAsia="宋体" w:hAnsi="宋体" w:cs="宋体"/>
                <w:color w:val="000000" w:themeColor="text1"/>
                <w:sz w:val="21"/>
              </w:rPr>
              <w:t>IEEE/ACM会士</w:t>
            </w:r>
            <w:r w:rsidR="008F77DB">
              <w:rPr>
                <w:rFonts w:ascii="宋体" w:eastAsia="宋体" w:hAnsi="宋体" w:cs="宋体" w:hint="eastAsia"/>
                <w:color w:val="0D0D0D"/>
                <w:sz w:val="21"/>
              </w:rPr>
              <w:t>，以及</w:t>
            </w:r>
            <w:r>
              <w:rPr>
                <w:rFonts w:ascii="宋体" w:eastAsia="宋体" w:hAnsi="宋体" w:cs="宋体"/>
                <w:color w:val="0D0D0D"/>
                <w:sz w:val="21"/>
              </w:rPr>
              <w:t xml:space="preserve">斯隆研究奖得主Nicolas </w:t>
            </w:r>
            <w:proofErr w:type="spellStart"/>
            <w:r>
              <w:rPr>
                <w:rFonts w:ascii="宋体" w:eastAsia="宋体" w:hAnsi="宋体" w:cs="宋体"/>
                <w:color w:val="0D0D0D"/>
                <w:sz w:val="21"/>
              </w:rPr>
              <w:t>Papernot</w:t>
            </w:r>
            <w:proofErr w:type="spellEnd"/>
            <w:r>
              <w:rPr>
                <w:rFonts w:ascii="宋体" w:eastAsia="宋体" w:hAnsi="宋体" w:cs="宋体"/>
                <w:color w:val="0D0D0D"/>
                <w:sz w:val="21"/>
              </w:rPr>
              <w:t>和Bo Li等引用。</w:t>
            </w:r>
          </w:p>
          <w:p w14:paraId="4F3D61FE" w14:textId="236E7C2E" w:rsidR="001C39B9" w:rsidRPr="00C8268B" w:rsidRDefault="00C8268B" w:rsidP="00C8268B">
            <w:pPr>
              <w:spacing w:line="240" w:lineRule="exact"/>
              <w:ind w:firstLineChars="200" w:firstLine="420"/>
              <w:jc w:val="both"/>
              <w:rPr>
                <w:rFonts w:ascii="宋体" w:eastAsia="宋体" w:hAnsi="宋体" w:cs="宋体"/>
                <w:sz w:val="21"/>
                <w:szCs w:val="21"/>
              </w:rPr>
            </w:pPr>
            <w:r w:rsidRPr="00C8268B">
              <w:rPr>
                <w:rFonts w:ascii="宋体" w:eastAsia="宋体" w:hAnsi="宋体" w:cs="宋体" w:hint="eastAsia"/>
                <w:color w:val="0D0D0D"/>
                <w:sz w:val="21"/>
              </w:rPr>
              <w:t>依托项目成果构建了深度学习模型对抗攻防理论与技术体系，在CCF A/B类等权威会议和期刊发表论文</w:t>
            </w:r>
            <w:r w:rsidR="00850B71">
              <w:rPr>
                <w:rFonts w:ascii="宋体" w:eastAsia="宋体" w:hAnsi="宋体" w:cs="宋体" w:hint="eastAsia"/>
                <w:color w:val="0D0D0D"/>
                <w:sz w:val="21"/>
              </w:rPr>
              <w:t>4</w:t>
            </w:r>
            <w:r w:rsidRPr="00C8268B">
              <w:rPr>
                <w:rFonts w:ascii="宋体" w:eastAsia="宋体" w:hAnsi="宋体" w:cs="宋体" w:hint="eastAsia"/>
                <w:color w:val="0D0D0D"/>
                <w:sz w:val="21"/>
              </w:rPr>
              <w:t>0余篇。5篇代表作</w:t>
            </w:r>
            <w:r w:rsidR="00850B71">
              <w:rPr>
                <w:rFonts w:ascii="宋体" w:eastAsia="宋体" w:hAnsi="宋体" w:cs="宋体" w:hint="eastAsia"/>
                <w:color w:val="0D0D0D"/>
                <w:sz w:val="21"/>
              </w:rPr>
              <w:t>的</w:t>
            </w:r>
            <w:r w:rsidRPr="00C8268B">
              <w:rPr>
                <w:rFonts w:ascii="宋体" w:eastAsia="宋体" w:hAnsi="宋体" w:cs="宋体" w:hint="eastAsia"/>
                <w:color w:val="0D0D0D"/>
                <w:sz w:val="21"/>
              </w:rPr>
              <w:t>谷歌学术总引用2200余次，得到</w:t>
            </w:r>
            <w:r w:rsidR="008F77DB" w:rsidRPr="0041236A">
              <w:rPr>
                <w:rFonts w:ascii="宋体" w:eastAsia="宋体" w:hAnsi="宋体" w:cs="宋体" w:hint="eastAsia"/>
                <w:color w:val="000000" w:themeColor="text1"/>
                <w:sz w:val="21"/>
              </w:rPr>
              <w:t>中美</w:t>
            </w:r>
            <w:r w:rsidR="003247FC" w:rsidRPr="0041236A">
              <w:rPr>
                <w:rFonts w:ascii="宋体" w:eastAsia="宋体" w:hAnsi="宋体" w:cs="宋体" w:hint="eastAsia"/>
                <w:color w:val="000000" w:themeColor="text1"/>
                <w:sz w:val="21"/>
              </w:rPr>
              <w:t>欧</w:t>
            </w:r>
            <w:r w:rsidR="008F77DB" w:rsidRPr="0041236A">
              <w:rPr>
                <w:rFonts w:ascii="宋体" w:eastAsia="宋体" w:hAnsi="宋体" w:cs="宋体" w:hint="eastAsia"/>
                <w:color w:val="000000" w:themeColor="text1"/>
                <w:sz w:val="21"/>
              </w:rPr>
              <w:t>澳</w:t>
            </w:r>
            <w:r w:rsidR="003247FC" w:rsidRPr="0041236A">
              <w:rPr>
                <w:rFonts w:ascii="宋体" w:eastAsia="宋体" w:hAnsi="宋体" w:cs="宋体" w:hint="eastAsia"/>
                <w:color w:val="000000" w:themeColor="text1"/>
                <w:sz w:val="21"/>
              </w:rPr>
              <w:t>新</w:t>
            </w:r>
            <w:r w:rsidR="008F77DB" w:rsidRPr="0041236A">
              <w:rPr>
                <w:rFonts w:ascii="宋体" w:eastAsia="宋体" w:hAnsi="宋体" w:cs="宋体" w:hint="eastAsia"/>
                <w:color w:val="000000" w:themeColor="text1"/>
                <w:sz w:val="21"/>
              </w:rPr>
              <w:t>等多</w:t>
            </w:r>
            <w:r w:rsidRPr="0041236A">
              <w:rPr>
                <w:rFonts w:ascii="宋体" w:eastAsia="宋体" w:hAnsi="宋体" w:cs="宋体" w:hint="eastAsia"/>
                <w:color w:val="000000" w:themeColor="text1"/>
                <w:sz w:val="21"/>
              </w:rPr>
              <w:t>国院士、</w:t>
            </w:r>
            <w:r w:rsidR="005154B2">
              <w:rPr>
                <w:rFonts w:ascii="宋体" w:eastAsia="宋体" w:hAnsi="宋体" w:cs="宋体" w:hint="eastAsia"/>
                <w:color w:val="000000" w:themeColor="text1"/>
                <w:sz w:val="21"/>
              </w:rPr>
              <w:t>数十</w:t>
            </w:r>
            <w:r w:rsidR="00E6728A" w:rsidRPr="0041236A">
              <w:rPr>
                <w:rFonts w:ascii="宋体" w:eastAsia="宋体" w:hAnsi="宋体" w:cs="宋体" w:hint="eastAsia"/>
                <w:color w:val="000000" w:themeColor="text1"/>
                <w:sz w:val="21"/>
              </w:rPr>
              <w:t>位</w:t>
            </w:r>
            <w:r w:rsidRPr="0041236A">
              <w:rPr>
                <w:rFonts w:ascii="宋体" w:eastAsia="宋体" w:hAnsi="宋体" w:cs="宋体" w:hint="eastAsia"/>
                <w:color w:val="000000" w:themeColor="text1"/>
                <w:sz w:val="21"/>
              </w:rPr>
              <w:t>ACM/IEEE</w:t>
            </w:r>
            <w:r w:rsidR="008F77DB" w:rsidRPr="0041236A">
              <w:rPr>
                <w:rFonts w:ascii="宋体" w:eastAsia="宋体" w:hAnsi="宋体" w:cs="宋体" w:hint="eastAsia"/>
                <w:color w:val="000000" w:themeColor="text1"/>
                <w:sz w:val="21"/>
              </w:rPr>
              <w:t>会士</w:t>
            </w:r>
            <w:r w:rsidR="003247FC" w:rsidRPr="0041236A">
              <w:rPr>
                <w:rFonts w:ascii="宋体" w:eastAsia="宋体" w:hAnsi="宋体" w:cs="宋体" w:hint="eastAsia"/>
                <w:color w:val="000000" w:themeColor="text1"/>
                <w:sz w:val="21"/>
              </w:rPr>
              <w:t>、以及多位斯隆奖得主</w:t>
            </w:r>
            <w:r w:rsidRPr="00C8268B">
              <w:rPr>
                <w:rFonts w:ascii="宋体" w:eastAsia="宋体" w:hAnsi="宋体" w:cs="宋体" w:hint="eastAsia"/>
                <w:color w:val="0D0D0D"/>
                <w:sz w:val="21"/>
              </w:rPr>
              <w:t>的正面引用和好评，为深度学习模型的安全可信性研究做出了创新性贡献。作为核心成员，参加与对抗机器学习相关的2项IEEE标准的制定（IEEE 3129-2023、IEEE 3168-2024），项目成果被集成到ARES、CANARY、</w:t>
            </w:r>
            <w:proofErr w:type="spellStart"/>
            <w:r w:rsidRPr="00C8268B">
              <w:rPr>
                <w:rFonts w:ascii="宋体" w:eastAsia="宋体" w:hAnsi="宋体" w:cs="宋体" w:hint="eastAsia"/>
                <w:color w:val="0D0D0D"/>
                <w:sz w:val="21"/>
              </w:rPr>
              <w:t>OpenAttack</w:t>
            </w:r>
            <w:proofErr w:type="spellEnd"/>
            <w:r w:rsidRPr="00C8268B">
              <w:rPr>
                <w:rFonts w:ascii="宋体" w:eastAsia="宋体" w:hAnsi="宋体" w:cs="宋体" w:hint="eastAsia"/>
                <w:color w:val="0D0D0D"/>
                <w:sz w:val="21"/>
              </w:rPr>
              <w:t>、Adversarial-Attacks-</w:t>
            </w:r>
            <w:proofErr w:type="spellStart"/>
            <w:r w:rsidRPr="00C8268B">
              <w:rPr>
                <w:rFonts w:ascii="宋体" w:eastAsia="宋体" w:hAnsi="宋体" w:cs="宋体" w:hint="eastAsia"/>
                <w:color w:val="0D0D0D"/>
                <w:sz w:val="21"/>
              </w:rPr>
              <w:t>PyTorch</w:t>
            </w:r>
            <w:proofErr w:type="spellEnd"/>
            <w:r w:rsidRPr="00C8268B">
              <w:rPr>
                <w:rFonts w:ascii="宋体" w:eastAsia="宋体" w:hAnsi="宋体" w:cs="宋体" w:hint="eastAsia"/>
                <w:color w:val="0D0D0D"/>
                <w:sz w:val="21"/>
              </w:rPr>
              <w:t>、</w:t>
            </w:r>
            <w:proofErr w:type="spellStart"/>
            <w:r w:rsidRPr="00C8268B">
              <w:rPr>
                <w:rFonts w:ascii="宋体" w:eastAsia="宋体" w:hAnsi="宋体" w:cs="宋体" w:hint="eastAsia"/>
                <w:color w:val="0D0D0D"/>
                <w:sz w:val="21"/>
              </w:rPr>
              <w:t>MindArmour</w:t>
            </w:r>
            <w:proofErr w:type="spellEnd"/>
            <w:r w:rsidRPr="00C8268B">
              <w:rPr>
                <w:rFonts w:ascii="宋体" w:eastAsia="宋体" w:hAnsi="宋体" w:cs="宋体" w:hint="eastAsia"/>
                <w:color w:val="0D0D0D"/>
                <w:sz w:val="21"/>
              </w:rPr>
              <w:t>、</w:t>
            </w:r>
            <w:proofErr w:type="spellStart"/>
            <w:r w:rsidRPr="00C8268B">
              <w:rPr>
                <w:rFonts w:ascii="宋体" w:eastAsia="宋体" w:hAnsi="宋体" w:cs="宋体" w:hint="eastAsia"/>
                <w:color w:val="0D0D0D"/>
                <w:sz w:val="21"/>
              </w:rPr>
              <w:t>TextAttack</w:t>
            </w:r>
            <w:proofErr w:type="spellEnd"/>
            <w:r w:rsidRPr="00C8268B">
              <w:rPr>
                <w:rFonts w:ascii="宋体" w:eastAsia="宋体" w:hAnsi="宋体" w:cs="宋体" w:hint="eastAsia"/>
                <w:color w:val="0D0D0D"/>
                <w:sz w:val="21"/>
              </w:rPr>
              <w:t>、</w:t>
            </w:r>
            <w:proofErr w:type="spellStart"/>
            <w:r w:rsidRPr="00C8268B">
              <w:rPr>
                <w:rFonts w:ascii="宋体" w:eastAsia="宋体" w:hAnsi="宋体" w:cs="宋体" w:hint="eastAsia"/>
                <w:color w:val="0D0D0D"/>
                <w:sz w:val="21"/>
              </w:rPr>
              <w:t>PyABSA</w:t>
            </w:r>
            <w:proofErr w:type="spellEnd"/>
            <w:r w:rsidRPr="00C8268B">
              <w:rPr>
                <w:rFonts w:ascii="宋体" w:eastAsia="宋体" w:hAnsi="宋体" w:cs="宋体" w:hint="eastAsia"/>
                <w:color w:val="0D0D0D"/>
                <w:sz w:val="21"/>
              </w:rPr>
              <w:t>和</w:t>
            </w:r>
            <w:proofErr w:type="spellStart"/>
            <w:r w:rsidRPr="00C8268B">
              <w:rPr>
                <w:rFonts w:ascii="宋体" w:eastAsia="宋体" w:hAnsi="宋体" w:cs="宋体" w:hint="eastAsia"/>
                <w:color w:val="0D0D0D"/>
                <w:sz w:val="21"/>
              </w:rPr>
              <w:t>Counterfit</w:t>
            </w:r>
            <w:proofErr w:type="spellEnd"/>
            <w:r w:rsidRPr="00C8268B">
              <w:rPr>
                <w:rFonts w:ascii="宋体" w:eastAsia="宋体" w:hAnsi="宋体" w:cs="宋体" w:hint="eastAsia"/>
                <w:color w:val="0D0D0D"/>
                <w:sz w:val="21"/>
              </w:rPr>
              <w:t>等多个著名开源框架，为阿里巴巴公司的商业治理核心业务模型保持指定准确率的前提下带来10%的召回率提升。项目成果产生较大的国际学术影响，第一完成人多次受邀在CCF ADL</w:t>
            </w:r>
            <w:r w:rsidR="008F77DB">
              <w:rPr>
                <w:rFonts w:ascii="宋体" w:eastAsia="宋体" w:hAnsi="宋体" w:cs="宋体" w:hint="eastAsia"/>
                <w:color w:val="0D0D0D"/>
                <w:sz w:val="21"/>
              </w:rPr>
              <w:t>讲习班</w:t>
            </w:r>
            <w:r w:rsidRPr="00C8268B">
              <w:rPr>
                <w:rFonts w:ascii="宋体" w:eastAsia="宋体" w:hAnsi="宋体" w:cs="宋体" w:hint="eastAsia"/>
                <w:color w:val="0D0D0D"/>
                <w:sz w:val="21"/>
              </w:rPr>
              <w:t>、CCF A</w:t>
            </w:r>
            <w:r w:rsidR="008F77DB">
              <w:rPr>
                <w:rFonts w:ascii="宋体" w:eastAsia="宋体" w:hAnsi="宋体" w:cs="宋体" w:hint="eastAsia"/>
                <w:color w:val="0D0D0D"/>
                <w:sz w:val="21"/>
              </w:rPr>
              <w:t>I、CCDM</w:t>
            </w:r>
            <w:r w:rsidRPr="00C8268B">
              <w:rPr>
                <w:rFonts w:ascii="宋体" w:eastAsia="宋体" w:hAnsi="宋体" w:cs="宋体" w:hint="eastAsia"/>
                <w:color w:val="0D0D0D"/>
                <w:sz w:val="21"/>
              </w:rPr>
              <w:t>等</w:t>
            </w:r>
            <w:r w:rsidR="008F77DB">
              <w:rPr>
                <w:rFonts w:ascii="宋体" w:eastAsia="宋体" w:hAnsi="宋体" w:cs="宋体" w:hint="eastAsia"/>
                <w:color w:val="0D0D0D"/>
                <w:sz w:val="21"/>
              </w:rPr>
              <w:t>专委</w:t>
            </w:r>
            <w:r w:rsidRPr="00C8268B">
              <w:rPr>
                <w:rFonts w:ascii="宋体" w:eastAsia="宋体" w:hAnsi="宋体" w:cs="宋体" w:hint="eastAsia"/>
                <w:color w:val="0D0D0D"/>
                <w:sz w:val="21"/>
              </w:rPr>
              <w:t>会议上作对抗机器学习的学术报告，并入选省网信优秀人才。</w:t>
            </w:r>
          </w:p>
        </w:tc>
      </w:tr>
      <w:tr w:rsidR="001C39B9" w14:paraId="0310AA69" w14:textId="77777777" w:rsidTr="00D14190">
        <w:trPr>
          <w:trHeight w:val="450"/>
          <w:jc w:val="center"/>
        </w:trPr>
        <w:tc>
          <w:tcPr>
            <w:tcW w:w="2439" w:type="dxa"/>
            <w:vAlign w:val="center"/>
          </w:tcPr>
          <w:p w14:paraId="75B22BD2" w14:textId="77777777" w:rsidR="001C39B9" w:rsidRDefault="001C39B9" w:rsidP="00537632">
            <w:pPr>
              <w:spacing w:line="280" w:lineRule="exact"/>
              <w:jc w:val="center"/>
              <w:rPr>
                <w:rFonts w:ascii="黑体" w:eastAsia="黑体" w:hAnsi="黑体" w:cs="黑体"/>
                <w:sz w:val="22"/>
              </w:rPr>
            </w:pPr>
            <w:r>
              <w:rPr>
                <w:rFonts w:ascii="黑体" w:eastAsia="黑体" w:hAnsi="黑体" w:cs="黑体" w:hint="eastAsia"/>
                <w:sz w:val="22"/>
              </w:rPr>
              <w:lastRenderedPageBreak/>
              <w:t>主要完成人</w:t>
            </w:r>
          </w:p>
          <w:p w14:paraId="4F4808A8" w14:textId="77777777" w:rsidR="001C39B9" w:rsidRDefault="001C39B9" w:rsidP="00537632">
            <w:pPr>
              <w:spacing w:line="280" w:lineRule="exact"/>
              <w:jc w:val="center"/>
              <w:rPr>
                <w:sz w:val="22"/>
              </w:rPr>
            </w:pPr>
            <w:r>
              <w:rPr>
                <w:rFonts w:ascii="黑体" w:eastAsia="黑体" w:hAnsi="黑体" w:cs="黑体" w:hint="eastAsia"/>
                <w:sz w:val="22"/>
              </w:rPr>
              <w:t>（完成单位）</w:t>
            </w:r>
          </w:p>
        </w:tc>
        <w:tc>
          <w:tcPr>
            <w:tcW w:w="11198" w:type="dxa"/>
            <w:vAlign w:val="center"/>
          </w:tcPr>
          <w:p w14:paraId="1980F3AB" w14:textId="7395AE93" w:rsidR="001C39B9" w:rsidRDefault="00C8268B" w:rsidP="00537632">
            <w:pPr>
              <w:spacing w:line="240" w:lineRule="exact"/>
              <w:ind w:firstLineChars="200" w:firstLine="420"/>
              <w:rPr>
                <w:rFonts w:ascii="宋体" w:eastAsia="宋体" w:hAnsi="宋体" w:cs="宋体"/>
                <w:sz w:val="21"/>
                <w:szCs w:val="21"/>
              </w:rPr>
            </w:pPr>
            <w:r>
              <w:rPr>
                <w:rFonts w:ascii="宋体" w:eastAsia="宋体" w:hAnsi="宋体" w:cs="宋体"/>
                <w:color w:val="000000"/>
                <w:sz w:val="21"/>
              </w:rPr>
              <w:t>何琨（华中科技大学）、车万翔（哈尔滨工业大学）、林嘉栋（华中科技大学）、王晓森（华中科技大学）、</w:t>
            </w:r>
            <w:r>
              <w:br/>
              <w:t xml:space="preserve">   </w:t>
            </w:r>
            <w:r>
              <w:rPr>
                <w:rFonts w:ascii="宋体" w:eastAsia="宋体" w:hAnsi="宋体" w:cs="宋体"/>
                <w:color w:val="000000"/>
                <w:sz w:val="21"/>
              </w:rPr>
              <w:t>任抒怀（华中科技大学）</w:t>
            </w:r>
          </w:p>
        </w:tc>
      </w:tr>
      <w:tr w:rsidR="001C39B9" w14:paraId="7260690A" w14:textId="77777777" w:rsidTr="00D14190">
        <w:trPr>
          <w:trHeight w:val="476"/>
          <w:jc w:val="center"/>
        </w:trPr>
        <w:tc>
          <w:tcPr>
            <w:tcW w:w="13637" w:type="dxa"/>
            <w:gridSpan w:val="2"/>
            <w:vAlign w:val="center"/>
          </w:tcPr>
          <w:tbl>
            <w:tblPr>
              <w:tblStyle w:val="a4"/>
              <w:tblpPr w:leftFromText="180" w:rightFromText="180" w:vertAnchor="text" w:horzAnchor="page" w:tblpX="-13" w:tblpY="365"/>
              <w:tblOverlap w:val="never"/>
              <w:tblW w:w="13617" w:type="dxa"/>
              <w:tblCellMar>
                <w:left w:w="0" w:type="dxa"/>
                <w:right w:w="0" w:type="dxa"/>
              </w:tblCellMar>
              <w:tblLook w:val="04A0" w:firstRow="1" w:lastRow="0" w:firstColumn="1" w:lastColumn="0" w:noHBand="0" w:noVBand="1"/>
            </w:tblPr>
            <w:tblGrid>
              <w:gridCol w:w="927"/>
              <w:gridCol w:w="3490"/>
              <w:gridCol w:w="2531"/>
              <w:gridCol w:w="1639"/>
              <w:gridCol w:w="1689"/>
              <w:gridCol w:w="1610"/>
              <w:gridCol w:w="1731"/>
            </w:tblGrid>
            <w:tr w:rsidR="001C39B9" w14:paraId="0B51BA45" w14:textId="77777777" w:rsidTr="00537632">
              <w:trPr>
                <w:trHeight w:val="692"/>
              </w:trPr>
              <w:tc>
                <w:tcPr>
                  <w:tcW w:w="927" w:type="dxa"/>
                  <w:vAlign w:val="center"/>
                </w:tcPr>
                <w:p w14:paraId="316635F8" w14:textId="77777777" w:rsidR="001C39B9" w:rsidRDefault="001C39B9" w:rsidP="00537632">
                  <w:pPr>
                    <w:pStyle w:val="a3"/>
                    <w:widowControl w:val="0"/>
                    <w:adjustRightInd w:val="0"/>
                    <w:spacing w:line="240" w:lineRule="exact"/>
                    <w:jc w:val="center"/>
                    <w:rPr>
                      <w:rFonts w:ascii="黑体" w:eastAsia="黑体" w:hAnsi="黑体" w:cs="黑体"/>
                      <w:color w:val="000000"/>
                      <w:sz w:val="18"/>
                      <w:szCs w:val="18"/>
                      <w:lang w:bidi="ar"/>
                    </w:rPr>
                  </w:pPr>
                  <w:r>
                    <w:rPr>
                      <w:rFonts w:ascii="黑体" w:eastAsia="黑体" w:hAnsi="黑体" w:cs="黑体" w:hint="eastAsia"/>
                      <w:color w:val="000000"/>
                      <w:sz w:val="18"/>
                      <w:szCs w:val="18"/>
                      <w:lang w:bidi="ar"/>
                    </w:rPr>
                    <w:t>序号</w:t>
                  </w:r>
                </w:p>
              </w:tc>
              <w:tc>
                <w:tcPr>
                  <w:tcW w:w="3490" w:type="dxa"/>
                  <w:vAlign w:val="center"/>
                </w:tcPr>
                <w:p w14:paraId="39312AF0" w14:textId="77777777" w:rsidR="001C39B9" w:rsidRDefault="001C39B9" w:rsidP="00537632">
                  <w:pPr>
                    <w:jc w:val="center"/>
                    <w:rPr>
                      <w:rFonts w:ascii="黑体" w:eastAsia="黑体" w:hAnsi="黑体" w:cs="黑体"/>
                      <w:color w:val="000000"/>
                      <w:sz w:val="18"/>
                      <w:szCs w:val="18"/>
                      <w:lang w:bidi="ar"/>
                    </w:rPr>
                  </w:pPr>
                  <w:r>
                    <w:rPr>
                      <w:rFonts w:ascii="黑体" w:eastAsia="黑体" w:hAnsi="黑体" w:cs="黑体" w:hint="eastAsia"/>
                      <w:color w:val="000000"/>
                      <w:kern w:val="2"/>
                      <w:sz w:val="18"/>
                      <w:szCs w:val="18"/>
                      <w:lang w:bidi="ar"/>
                    </w:rPr>
                    <w:t>论文（专著）名称/刊名/作者</w:t>
                  </w:r>
                </w:p>
              </w:tc>
              <w:tc>
                <w:tcPr>
                  <w:tcW w:w="2531" w:type="dxa"/>
                  <w:vAlign w:val="center"/>
                </w:tcPr>
                <w:p w14:paraId="2E48FA60" w14:textId="77777777" w:rsidR="001C39B9" w:rsidRDefault="001C39B9" w:rsidP="00537632">
                  <w:pPr>
                    <w:jc w:val="center"/>
                    <w:rPr>
                      <w:rFonts w:ascii="黑体" w:eastAsia="黑体" w:hAnsi="黑体" w:cs="黑体"/>
                      <w:color w:val="000000"/>
                      <w:sz w:val="18"/>
                      <w:szCs w:val="18"/>
                      <w:lang w:bidi="ar"/>
                    </w:rPr>
                  </w:pPr>
                  <w:r>
                    <w:rPr>
                      <w:rFonts w:ascii="黑体" w:eastAsia="黑体" w:hAnsi="黑体" w:cs="黑体" w:hint="eastAsia"/>
                      <w:color w:val="000000"/>
                      <w:kern w:val="2"/>
                      <w:sz w:val="18"/>
                      <w:szCs w:val="18"/>
                      <w:lang w:bidi="ar"/>
                    </w:rPr>
                    <w:t>年、卷、页码</w:t>
                  </w:r>
                </w:p>
              </w:tc>
              <w:tc>
                <w:tcPr>
                  <w:tcW w:w="1639" w:type="dxa"/>
                  <w:vAlign w:val="center"/>
                </w:tcPr>
                <w:p w14:paraId="40BA0FC3" w14:textId="77777777" w:rsidR="001C39B9" w:rsidRDefault="001C39B9" w:rsidP="00537632">
                  <w:pPr>
                    <w:jc w:val="center"/>
                    <w:rPr>
                      <w:rFonts w:ascii="黑体" w:eastAsia="黑体" w:hAnsi="黑体" w:cs="黑体"/>
                      <w:color w:val="000000"/>
                      <w:sz w:val="18"/>
                      <w:szCs w:val="18"/>
                      <w:lang w:bidi="ar"/>
                    </w:rPr>
                  </w:pPr>
                  <w:r>
                    <w:rPr>
                      <w:rFonts w:ascii="黑体" w:eastAsia="黑体" w:hAnsi="黑体" w:cs="黑体" w:hint="eastAsia"/>
                      <w:color w:val="000000"/>
                      <w:kern w:val="2"/>
                      <w:sz w:val="18"/>
                      <w:szCs w:val="18"/>
                      <w:lang w:bidi="ar"/>
                    </w:rPr>
                    <w:t>发表时间（年月日）</w:t>
                  </w:r>
                </w:p>
              </w:tc>
              <w:tc>
                <w:tcPr>
                  <w:tcW w:w="1689" w:type="dxa"/>
                  <w:vAlign w:val="center"/>
                </w:tcPr>
                <w:p w14:paraId="3CFB9258" w14:textId="77777777" w:rsidR="001C39B9" w:rsidRDefault="001C39B9" w:rsidP="00537632">
                  <w:pPr>
                    <w:jc w:val="center"/>
                    <w:rPr>
                      <w:rFonts w:ascii="黑体" w:eastAsia="黑体" w:hAnsi="黑体" w:cs="黑体"/>
                      <w:color w:val="000000"/>
                      <w:sz w:val="18"/>
                      <w:szCs w:val="18"/>
                      <w:lang w:bidi="ar"/>
                    </w:rPr>
                  </w:pPr>
                  <w:r>
                    <w:rPr>
                      <w:rFonts w:ascii="黑体" w:eastAsia="黑体" w:hAnsi="黑体" w:cs="黑体" w:hint="eastAsia"/>
                      <w:color w:val="000000"/>
                      <w:kern w:val="2"/>
                      <w:sz w:val="18"/>
                      <w:szCs w:val="18"/>
                      <w:lang w:bidi="ar"/>
                    </w:rPr>
                    <w:t>通讯作者（含共同）</w:t>
                  </w:r>
                </w:p>
              </w:tc>
              <w:tc>
                <w:tcPr>
                  <w:tcW w:w="1610" w:type="dxa"/>
                  <w:vAlign w:val="center"/>
                </w:tcPr>
                <w:p w14:paraId="1A2A0008" w14:textId="77777777" w:rsidR="001C39B9" w:rsidRDefault="001C39B9" w:rsidP="00537632">
                  <w:pPr>
                    <w:jc w:val="center"/>
                    <w:rPr>
                      <w:rFonts w:ascii="黑体" w:eastAsia="黑体" w:hAnsi="黑体" w:cs="黑体"/>
                      <w:color w:val="000000"/>
                      <w:sz w:val="18"/>
                      <w:szCs w:val="18"/>
                      <w:lang w:bidi="ar"/>
                    </w:rPr>
                  </w:pPr>
                  <w:r>
                    <w:rPr>
                      <w:rFonts w:ascii="黑体" w:eastAsia="黑体" w:hAnsi="黑体" w:cs="黑体" w:hint="eastAsia"/>
                      <w:color w:val="000000"/>
                      <w:kern w:val="2"/>
                      <w:sz w:val="18"/>
                      <w:szCs w:val="18"/>
                      <w:lang w:bidi="ar"/>
                    </w:rPr>
                    <w:t>第一作者（含共同）</w:t>
                  </w:r>
                </w:p>
              </w:tc>
              <w:tc>
                <w:tcPr>
                  <w:tcW w:w="1731" w:type="dxa"/>
                  <w:vAlign w:val="center"/>
                </w:tcPr>
                <w:p w14:paraId="584FE003" w14:textId="77777777" w:rsidR="001C39B9" w:rsidRDefault="001C39B9" w:rsidP="00537632">
                  <w:pPr>
                    <w:jc w:val="center"/>
                    <w:rPr>
                      <w:rFonts w:ascii="黑体" w:eastAsia="黑体" w:hAnsi="黑体" w:cs="黑体"/>
                      <w:color w:val="000000"/>
                      <w:sz w:val="18"/>
                      <w:szCs w:val="18"/>
                      <w:lang w:bidi="ar"/>
                    </w:rPr>
                  </w:pPr>
                  <w:r>
                    <w:rPr>
                      <w:rFonts w:ascii="黑体" w:eastAsia="黑体" w:hAnsi="黑体" w:cs="黑体" w:hint="eastAsia"/>
                      <w:color w:val="000000"/>
                      <w:kern w:val="2"/>
                      <w:sz w:val="18"/>
                      <w:szCs w:val="18"/>
                      <w:lang w:bidi="ar"/>
                    </w:rPr>
                    <w:t>国内作者</w:t>
                  </w:r>
                </w:p>
              </w:tc>
            </w:tr>
            <w:tr w:rsidR="00747020" w14:paraId="57A71E1E" w14:textId="77777777" w:rsidTr="00537632">
              <w:trPr>
                <w:trHeight w:val="687"/>
              </w:trPr>
              <w:tc>
                <w:tcPr>
                  <w:tcW w:w="927" w:type="dxa"/>
                  <w:vAlign w:val="center"/>
                </w:tcPr>
                <w:p w14:paraId="5963A11D" w14:textId="77777777"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1</w:t>
                  </w:r>
                </w:p>
              </w:tc>
              <w:tc>
                <w:tcPr>
                  <w:tcW w:w="3490" w:type="dxa"/>
                  <w:vAlign w:val="center"/>
                </w:tcPr>
                <w:p w14:paraId="5E28AA47" w14:textId="1422463C"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 xml:space="preserve">“Generating Natural Language Adversarial Examples through Probability Weighted Word Saliency”, Proceedings of the 57th Conference of the Association for Computational                   </w:t>
                  </w:r>
                  <w:r>
                    <w:rPr>
                      <w:rFonts w:ascii="宋体" w:eastAsia="宋体" w:hAnsi="宋体" w:cs="宋体"/>
                      <w:color w:val="000000"/>
                      <w:sz w:val="18"/>
                    </w:rPr>
                    <w:lastRenderedPageBreak/>
                    <w:t xml:space="preserve">Linguistics, S. Ren (任抒怀) and Y. Deng and Kun </w:t>
                  </w:r>
                  <w:proofErr w:type="gramStart"/>
                  <w:r>
                    <w:rPr>
                      <w:rFonts w:ascii="宋体" w:eastAsia="宋体" w:hAnsi="宋体" w:cs="宋体"/>
                      <w:color w:val="000000"/>
                      <w:sz w:val="18"/>
                    </w:rPr>
                    <w:t>He  (</w:t>
                  </w:r>
                  <w:proofErr w:type="gramEnd"/>
                  <w:r>
                    <w:rPr>
                      <w:rFonts w:ascii="宋体" w:eastAsia="宋体" w:hAnsi="宋体" w:cs="宋体"/>
                      <w:color w:val="000000"/>
                      <w:sz w:val="18"/>
                    </w:rPr>
                    <w:t>何琨) and Wanxiang Che (车万翔) (CCF A类论文, CORE A* 类论文)</w:t>
                  </w:r>
                </w:p>
              </w:tc>
              <w:tc>
                <w:tcPr>
                  <w:tcW w:w="2531" w:type="dxa"/>
                  <w:vAlign w:val="center"/>
                </w:tcPr>
                <w:p w14:paraId="59195057" w14:textId="01ED20B3"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lastRenderedPageBreak/>
                    <w:t>2019, pp. 1085-1097</w:t>
                  </w:r>
                </w:p>
              </w:tc>
              <w:tc>
                <w:tcPr>
                  <w:tcW w:w="1639" w:type="dxa"/>
                  <w:vAlign w:val="center"/>
                </w:tcPr>
                <w:p w14:paraId="3B2BFEAF" w14:textId="010C2FA6"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2019-07 </w:t>
                  </w:r>
                </w:p>
              </w:tc>
              <w:tc>
                <w:tcPr>
                  <w:tcW w:w="1689" w:type="dxa"/>
                  <w:vAlign w:val="center"/>
                </w:tcPr>
                <w:p w14:paraId="21D65AB0" w14:textId="4B8CA4C2"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何琨 </w:t>
                  </w:r>
                </w:p>
              </w:tc>
              <w:tc>
                <w:tcPr>
                  <w:tcW w:w="1610" w:type="dxa"/>
                  <w:vAlign w:val="center"/>
                </w:tcPr>
                <w:p w14:paraId="3761E6FB" w14:textId="6D9992D1"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任抒怀</w:t>
                  </w:r>
                </w:p>
              </w:tc>
              <w:tc>
                <w:tcPr>
                  <w:tcW w:w="1731" w:type="dxa"/>
                  <w:vAlign w:val="center"/>
                </w:tcPr>
                <w:p w14:paraId="41E70B3E" w14:textId="37A23BAF"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车万翔 </w:t>
                  </w:r>
                </w:p>
              </w:tc>
            </w:tr>
            <w:tr w:rsidR="00747020" w14:paraId="78ECA410" w14:textId="77777777" w:rsidTr="00537632">
              <w:trPr>
                <w:trHeight w:val="687"/>
              </w:trPr>
              <w:tc>
                <w:tcPr>
                  <w:tcW w:w="927" w:type="dxa"/>
                  <w:vAlign w:val="center"/>
                </w:tcPr>
                <w:p w14:paraId="413B4183" w14:textId="77777777"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2</w:t>
                  </w:r>
                </w:p>
              </w:tc>
              <w:tc>
                <w:tcPr>
                  <w:tcW w:w="3490" w:type="dxa"/>
                  <w:vAlign w:val="center"/>
                </w:tcPr>
                <w:p w14:paraId="194D058D" w14:textId="65D887A8"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 xml:space="preserve">“Nesterov Accelerated Gradient and Scale Invariance for Adversarial Attacks”,8th International Conference on Learning Representations, </w:t>
                  </w:r>
                  <w:proofErr w:type="spellStart"/>
                  <w:r>
                    <w:rPr>
                      <w:rFonts w:ascii="宋体" w:eastAsia="宋体" w:hAnsi="宋体" w:cs="宋体"/>
                      <w:color w:val="000000"/>
                      <w:sz w:val="18"/>
                    </w:rPr>
                    <w:t>Jiadong</w:t>
                  </w:r>
                  <w:proofErr w:type="spellEnd"/>
                  <w:r>
                    <w:rPr>
                      <w:rFonts w:ascii="宋体" w:eastAsia="宋体" w:hAnsi="宋体" w:cs="宋体"/>
                      <w:color w:val="000000"/>
                      <w:sz w:val="18"/>
                    </w:rPr>
                    <w:t xml:space="preserve"> Lin (林嘉栋), C. Song , Kun He (何琨), L. Wang and J. E. Hopcroft (CORE A* 类论文)</w:t>
                  </w:r>
                </w:p>
              </w:tc>
              <w:tc>
                <w:tcPr>
                  <w:tcW w:w="2531" w:type="dxa"/>
                  <w:vAlign w:val="center"/>
                </w:tcPr>
                <w:p w14:paraId="3ADAA639" w14:textId="3ED92521"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2020</w:t>
                  </w:r>
                </w:p>
              </w:tc>
              <w:tc>
                <w:tcPr>
                  <w:tcW w:w="1639" w:type="dxa"/>
                  <w:vAlign w:val="center"/>
                </w:tcPr>
                <w:p w14:paraId="7127B4CB" w14:textId="2B722873"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2020-04 </w:t>
                  </w:r>
                </w:p>
              </w:tc>
              <w:tc>
                <w:tcPr>
                  <w:tcW w:w="1689" w:type="dxa"/>
                  <w:vAlign w:val="center"/>
                </w:tcPr>
                <w:p w14:paraId="1B4FB2A7" w14:textId="558685DD"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何琨 </w:t>
                  </w:r>
                </w:p>
              </w:tc>
              <w:tc>
                <w:tcPr>
                  <w:tcW w:w="1610" w:type="dxa"/>
                  <w:vAlign w:val="center"/>
                </w:tcPr>
                <w:p w14:paraId="5B858184" w14:textId="24CA5112"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林嘉栋</w:t>
                  </w:r>
                </w:p>
              </w:tc>
              <w:tc>
                <w:tcPr>
                  <w:tcW w:w="1731" w:type="dxa"/>
                  <w:vAlign w:val="center"/>
                </w:tcPr>
                <w:p w14:paraId="2BC67E6B" w14:textId="0094D498"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宋传标，王立威</w:t>
                  </w:r>
                </w:p>
              </w:tc>
            </w:tr>
            <w:tr w:rsidR="00747020" w14:paraId="7403A74A" w14:textId="77777777" w:rsidTr="00537632">
              <w:trPr>
                <w:trHeight w:val="687"/>
              </w:trPr>
              <w:tc>
                <w:tcPr>
                  <w:tcW w:w="927" w:type="dxa"/>
                  <w:vAlign w:val="center"/>
                </w:tcPr>
                <w:p w14:paraId="295EE7CF" w14:textId="77777777"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3</w:t>
                  </w:r>
                </w:p>
              </w:tc>
              <w:tc>
                <w:tcPr>
                  <w:tcW w:w="3490" w:type="dxa"/>
                  <w:vAlign w:val="center"/>
                </w:tcPr>
                <w:p w14:paraId="38EFBC8D" w14:textId="68AC6F68"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 xml:space="preserve">“Enhancing the Transferability of Adversarial Attacks Through Variance Tuning”, Proceedings of the IEEE/CVF Conference on Computer Vision and Pattern Recognition, Wang </w:t>
                  </w:r>
                  <w:proofErr w:type="spellStart"/>
                  <w:r>
                    <w:rPr>
                      <w:rFonts w:ascii="宋体" w:eastAsia="宋体" w:hAnsi="宋体" w:cs="宋体"/>
                      <w:color w:val="000000"/>
                      <w:sz w:val="18"/>
                    </w:rPr>
                    <w:t>Xiaosen</w:t>
                  </w:r>
                  <w:proofErr w:type="spellEnd"/>
                  <w:r>
                    <w:rPr>
                      <w:rFonts w:ascii="宋体" w:eastAsia="宋体" w:hAnsi="宋体" w:cs="宋体"/>
                      <w:color w:val="000000"/>
                      <w:sz w:val="18"/>
                    </w:rPr>
                    <w:t xml:space="preserve"> (王晓森) and Kun He (何琨)(CCF A类, CORE A* 类论文)</w:t>
                  </w:r>
                </w:p>
              </w:tc>
              <w:tc>
                <w:tcPr>
                  <w:tcW w:w="2531" w:type="dxa"/>
                  <w:vAlign w:val="center"/>
                </w:tcPr>
                <w:p w14:paraId="60214A95" w14:textId="3A3ADEB8"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 xml:space="preserve"> 2021, pp. 1924-1933</w:t>
                  </w:r>
                </w:p>
              </w:tc>
              <w:tc>
                <w:tcPr>
                  <w:tcW w:w="1639" w:type="dxa"/>
                  <w:vAlign w:val="center"/>
                </w:tcPr>
                <w:p w14:paraId="78371C67" w14:textId="7F7F1A66"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2016-06</w:t>
                  </w:r>
                </w:p>
              </w:tc>
              <w:tc>
                <w:tcPr>
                  <w:tcW w:w="1689" w:type="dxa"/>
                  <w:vAlign w:val="center"/>
                </w:tcPr>
                <w:p w14:paraId="7549994B" w14:textId="4A24A7ED"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何琨 </w:t>
                  </w:r>
                </w:p>
              </w:tc>
              <w:tc>
                <w:tcPr>
                  <w:tcW w:w="1610" w:type="dxa"/>
                  <w:vAlign w:val="center"/>
                </w:tcPr>
                <w:p w14:paraId="238AD872" w14:textId="7B4B0616"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王晓森</w:t>
                  </w:r>
                </w:p>
              </w:tc>
              <w:tc>
                <w:tcPr>
                  <w:tcW w:w="1731" w:type="dxa"/>
                  <w:vAlign w:val="center"/>
                </w:tcPr>
                <w:p w14:paraId="209E4D2E" w14:textId="083575C7"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color w:val="000000"/>
                      <w:sz w:val="18"/>
                    </w:rPr>
                    <w:t>- </w:t>
                  </w:r>
                </w:p>
              </w:tc>
            </w:tr>
            <w:tr w:rsidR="00747020" w14:paraId="315A1F58" w14:textId="77777777" w:rsidTr="00537632">
              <w:trPr>
                <w:trHeight w:val="687"/>
              </w:trPr>
              <w:tc>
                <w:tcPr>
                  <w:tcW w:w="927" w:type="dxa"/>
                  <w:vAlign w:val="center"/>
                </w:tcPr>
                <w:p w14:paraId="2960AF2B" w14:textId="77777777"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lang w:bidi="ar"/>
                    </w:rPr>
                  </w:pPr>
                </w:p>
              </w:tc>
              <w:tc>
                <w:tcPr>
                  <w:tcW w:w="3490" w:type="dxa"/>
                  <w:vAlign w:val="center"/>
                </w:tcPr>
                <w:p w14:paraId="7D2CD1F2" w14:textId="62261EFE"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“实体关系自动抽取”，中文信息学报，车万翔，刘挺，李生（CCF</w:t>
                  </w:r>
                  <w:r w:rsidR="00DA5510">
                    <w:rPr>
                      <w:rFonts w:ascii="宋体" w:eastAsia="宋体" w:hAnsi="宋体" w:cs="宋体" w:hint="eastAsia"/>
                      <w:color w:val="000000"/>
                      <w:sz w:val="18"/>
                    </w:rPr>
                    <w:t xml:space="preserve"> T1</w:t>
                  </w:r>
                  <w:r>
                    <w:rPr>
                      <w:rFonts w:ascii="宋体" w:eastAsia="宋体" w:hAnsi="宋体" w:cs="宋体"/>
                      <w:color w:val="000000"/>
                      <w:sz w:val="18"/>
                    </w:rPr>
                    <w:t>中文论文）</w:t>
                  </w:r>
                </w:p>
              </w:tc>
              <w:tc>
                <w:tcPr>
                  <w:tcW w:w="2531" w:type="dxa"/>
                  <w:vAlign w:val="center"/>
                </w:tcPr>
                <w:p w14:paraId="3B7F1C23" w14:textId="3A77148E"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2005，no.2, pp. 1-6</w:t>
                  </w:r>
                </w:p>
              </w:tc>
              <w:tc>
                <w:tcPr>
                  <w:tcW w:w="1639" w:type="dxa"/>
                  <w:vAlign w:val="center"/>
                </w:tcPr>
                <w:p w14:paraId="166741DC" w14:textId="055C4DD4"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2005-03</w:t>
                  </w:r>
                </w:p>
              </w:tc>
              <w:tc>
                <w:tcPr>
                  <w:tcW w:w="1689" w:type="dxa"/>
                  <w:vAlign w:val="center"/>
                </w:tcPr>
                <w:p w14:paraId="125651EB" w14:textId="41226102"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车万翔</w:t>
                  </w:r>
                </w:p>
              </w:tc>
              <w:tc>
                <w:tcPr>
                  <w:tcW w:w="1610" w:type="dxa"/>
                  <w:vAlign w:val="center"/>
                </w:tcPr>
                <w:p w14:paraId="1491524E" w14:textId="5EF05CE5"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车万翔</w:t>
                  </w:r>
                </w:p>
              </w:tc>
              <w:tc>
                <w:tcPr>
                  <w:tcW w:w="1731" w:type="dxa"/>
                  <w:vAlign w:val="center"/>
                </w:tcPr>
                <w:p w14:paraId="260F3B13" w14:textId="4628AEDC"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李生，刘挺</w:t>
                  </w:r>
                </w:p>
              </w:tc>
            </w:tr>
            <w:tr w:rsidR="00747020" w14:paraId="1A58CF9D" w14:textId="77777777" w:rsidTr="00537632">
              <w:trPr>
                <w:trHeight w:val="687"/>
              </w:trPr>
              <w:tc>
                <w:tcPr>
                  <w:tcW w:w="927" w:type="dxa"/>
                  <w:vAlign w:val="center"/>
                </w:tcPr>
                <w:p w14:paraId="0A2DF42B" w14:textId="77777777" w:rsidR="00747020" w:rsidRDefault="00747020" w:rsidP="00747020">
                  <w:pPr>
                    <w:pStyle w:val="a3"/>
                    <w:widowControl w:val="0"/>
                    <w:adjustRightInd w:val="0"/>
                    <w:spacing w:line="240" w:lineRule="exact"/>
                    <w:jc w:val="center"/>
                    <w:outlineLvl w:val="1"/>
                    <w:rPr>
                      <w:rFonts w:ascii="宋体" w:eastAsia="宋体" w:hAnsi="宋体" w:cs="宋体"/>
                      <w:color w:val="000000"/>
                      <w:sz w:val="18"/>
                      <w:szCs w:val="18"/>
                      <w:lang w:bidi="ar"/>
                    </w:rPr>
                  </w:pPr>
                </w:p>
              </w:tc>
              <w:tc>
                <w:tcPr>
                  <w:tcW w:w="3490" w:type="dxa"/>
                  <w:vAlign w:val="center"/>
                </w:tcPr>
                <w:p w14:paraId="1FFCD2C4" w14:textId="75D964F8"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“语言技术平台”， 中文信息学报，刘挺，车万翔，李正华（CCF</w:t>
                  </w:r>
                  <w:r w:rsidR="00DA5510">
                    <w:rPr>
                      <w:rFonts w:ascii="宋体" w:eastAsia="宋体" w:hAnsi="宋体" w:cs="宋体" w:hint="eastAsia"/>
                      <w:color w:val="000000"/>
                      <w:sz w:val="18"/>
                    </w:rPr>
                    <w:t xml:space="preserve"> T1</w:t>
                  </w:r>
                  <w:r>
                    <w:rPr>
                      <w:rFonts w:ascii="宋体" w:eastAsia="宋体" w:hAnsi="宋体" w:cs="宋体"/>
                      <w:color w:val="000000"/>
                      <w:sz w:val="18"/>
                    </w:rPr>
                    <w:t>中文论文）</w:t>
                  </w:r>
                </w:p>
              </w:tc>
              <w:tc>
                <w:tcPr>
                  <w:tcW w:w="2531" w:type="dxa"/>
                  <w:vAlign w:val="center"/>
                </w:tcPr>
                <w:p w14:paraId="412E6512" w14:textId="0D332112"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2011，vol. 25, no. 6, pp. 53-62</w:t>
                  </w:r>
                </w:p>
              </w:tc>
              <w:tc>
                <w:tcPr>
                  <w:tcW w:w="1639" w:type="dxa"/>
                  <w:vAlign w:val="center"/>
                </w:tcPr>
                <w:p w14:paraId="2BE84266" w14:textId="7D886735"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2011-11</w:t>
                  </w:r>
                </w:p>
              </w:tc>
              <w:tc>
                <w:tcPr>
                  <w:tcW w:w="1689" w:type="dxa"/>
                  <w:vAlign w:val="center"/>
                </w:tcPr>
                <w:p w14:paraId="08481B40" w14:textId="74EC5AE1"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车万翔</w:t>
                  </w:r>
                </w:p>
              </w:tc>
              <w:tc>
                <w:tcPr>
                  <w:tcW w:w="1610" w:type="dxa"/>
                  <w:vAlign w:val="center"/>
                </w:tcPr>
                <w:p w14:paraId="514A11B5" w14:textId="2A6768E5"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刘挺</w:t>
                  </w:r>
                </w:p>
              </w:tc>
              <w:tc>
                <w:tcPr>
                  <w:tcW w:w="1731" w:type="dxa"/>
                  <w:vAlign w:val="center"/>
                </w:tcPr>
                <w:p w14:paraId="21963415" w14:textId="5C2FD61B" w:rsidR="00747020" w:rsidRDefault="00747020" w:rsidP="00747020">
                  <w:pPr>
                    <w:pStyle w:val="a3"/>
                    <w:widowControl w:val="0"/>
                    <w:adjustRightInd w:val="0"/>
                    <w:spacing w:line="240" w:lineRule="exact"/>
                    <w:jc w:val="center"/>
                    <w:outlineLvl w:val="1"/>
                    <w:rPr>
                      <w:rFonts w:ascii="宋体" w:eastAsia="宋体" w:hAnsi="宋体" w:cs="宋体"/>
                      <w:color w:val="000000"/>
                      <w:sz w:val="18"/>
                    </w:rPr>
                  </w:pPr>
                  <w:r>
                    <w:rPr>
                      <w:rFonts w:ascii="宋体" w:eastAsia="宋体" w:hAnsi="宋体" w:cs="宋体"/>
                      <w:color w:val="000000"/>
                      <w:sz w:val="18"/>
                    </w:rPr>
                    <w:t>李正华</w:t>
                  </w:r>
                </w:p>
              </w:tc>
            </w:tr>
          </w:tbl>
          <w:p w14:paraId="141485DF" w14:textId="6F2D239E" w:rsidR="001C39B9" w:rsidRDefault="001C39B9" w:rsidP="00537632">
            <w:pPr>
              <w:pStyle w:val="a3"/>
              <w:widowControl w:val="0"/>
              <w:adjustRightInd w:val="0"/>
              <w:spacing w:line="240" w:lineRule="exact"/>
              <w:jc w:val="center"/>
              <w:outlineLvl w:val="1"/>
              <w:rPr>
                <w:rFonts w:ascii="黑体" w:eastAsia="黑体" w:hAnsi="黑体" w:cs="黑体"/>
                <w:color w:val="000000"/>
                <w:sz w:val="22"/>
                <w:lang w:bidi="ar"/>
              </w:rPr>
            </w:pPr>
          </w:p>
        </w:tc>
      </w:tr>
    </w:tbl>
    <w:p w14:paraId="62711C13" w14:textId="77777777" w:rsidR="0089720A" w:rsidRPr="001C39B9" w:rsidRDefault="0089720A" w:rsidP="00287489">
      <w:pPr>
        <w:spacing w:beforeLines="50" w:before="156" w:afterLines="50" w:after="156" w:line="400" w:lineRule="exact"/>
        <w:jc w:val="center"/>
      </w:pPr>
    </w:p>
    <w:sectPr w:rsidR="0089720A" w:rsidRPr="001C39B9" w:rsidSect="001C39B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E2E3" w14:textId="77777777" w:rsidR="002A3961" w:rsidRDefault="002A3961" w:rsidP="0026455A">
      <w:pPr>
        <w:spacing w:line="240" w:lineRule="auto"/>
      </w:pPr>
      <w:r>
        <w:separator/>
      </w:r>
    </w:p>
  </w:endnote>
  <w:endnote w:type="continuationSeparator" w:id="0">
    <w:p w14:paraId="1697E5A6" w14:textId="77777777" w:rsidR="002A3961" w:rsidRDefault="002A3961" w:rsidP="00264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1" w:csb1="00000000"/>
  </w:font>
  <w:font w:name="方正小标宋简体">
    <w:altName w:val="微软雅黑"/>
    <w:panose1 w:val="020B0604020202020204"/>
    <w:charset w:val="86"/>
    <w:family w:val="script"/>
    <w:pitch w:val="default"/>
    <w:sig w:usb0="00000001" w:usb1="080E0000" w:usb2="00000000" w:usb3="00000000" w:csb0="00040000" w:csb1="00000000"/>
  </w:font>
  <w:font w:name="方正仿宋_GBK">
    <w:altName w:val="微软雅黑"/>
    <w:panose1 w:val="020B0604020202020204"/>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1D4B" w14:textId="77777777" w:rsidR="002A3961" w:rsidRDefault="002A3961" w:rsidP="0026455A">
      <w:pPr>
        <w:spacing w:line="240" w:lineRule="auto"/>
      </w:pPr>
      <w:r>
        <w:separator/>
      </w:r>
    </w:p>
  </w:footnote>
  <w:footnote w:type="continuationSeparator" w:id="0">
    <w:p w14:paraId="0E105671" w14:textId="77777777" w:rsidR="002A3961" w:rsidRDefault="002A3961" w:rsidP="002645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B9"/>
    <w:rsid w:val="00036971"/>
    <w:rsid w:val="001C39B9"/>
    <w:rsid w:val="0026455A"/>
    <w:rsid w:val="00287489"/>
    <w:rsid w:val="002A3961"/>
    <w:rsid w:val="002A6B25"/>
    <w:rsid w:val="002E4A95"/>
    <w:rsid w:val="00306DEB"/>
    <w:rsid w:val="003247FC"/>
    <w:rsid w:val="00395F94"/>
    <w:rsid w:val="003C4A1F"/>
    <w:rsid w:val="0041236A"/>
    <w:rsid w:val="004B3E1D"/>
    <w:rsid w:val="004D284C"/>
    <w:rsid w:val="004F3D5E"/>
    <w:rsid w:val="005154B2"/>
    <w:rsid w:val="006C4E9D"/>
    <w:rsid w:val="006E5136"/>
    <w:rsid w:val="00747020"/>
    <w:rsid w:val="00850B71"/>
    <w:rsid w:val="0086530D"/>
    <w:rsid w:val="0089720A"/>
    <w:rsid w:val="008B53EA"/>
    <w:rsid w:val="008D0353"/>
    <w:rsid w:val="008F77DB"/>
    <w:rsid w:val="009651CD"/>
    <w:rsid w:val="009811E8"/>
    <w:rsid w:val="009974C7"/>
    <w:rsid w:val="009A3C54"/>
    <w:rsid w:val="00A33039"/>
    <w:rsid w:val="00AF6B51"/>
    <w:rsid w:val="00BB4B78"/>
    <w:rsid w:val="00C8268B"/>
    <w:rsid w:val="00D14190"/>
    <w:rsid w:val="00DA1FED"/>
    <w:rsid w:val="00DA5510"/>
    <w:rsid w:val="00E6728A"/>
    <w:rsid w:val="00ED60B2"/>
    <w:rsid w:val="00EE736D"/>
    <w:rsid w:val="00EF376F"/>
    <w:rsid w:val="00FE4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EEDA5"/>
  <w15:chartTrackingRefBased/>
  <w15:docId w15:val="{A044A89E-8802-4783-BA8D-150810EF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9B9"/>
    <w:pPr>
      <w:spacing w:line="560" w:lineRule="exact"/>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1C39B9"/>
    <w:rPr>
      <w:sz w:val="24"/>
    </w:rPr>
  </w:style>
  <w:style w:type="table" w:styleId="a4">
    <w:name w:val="Table Grid"/>
    <w:basedOn w:val="a1"/>
    <w:uiPriority w:val="59"/>
    <w:qFormat/>
    <w:rsid w:val="001C39B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455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26455A"/>
    <w:rPr>
      <w:rFonts w:ascii="Times New Roman" w:eastAsia="仿宋_GB2312" w:hAnsi="Times New Roman"/>
      <w:sz w:val="18"/>
      <w:szCs w:val="18"/>
    </w:rPr>
  </w:style>
  <w:style w:type="paragraph" w:styleId="a7">
    <w:name w:val="footer"/>
    <w:basedOn w:val="a"/>
    <w:link w:val="a8"/>
    <w:uiPriority w:val="99"/>
    <w:unhideWhenUsed/>
    <w:rsid w:val="0026455A"/>
    <w:pPr>
      <w:tabs>
        <w:tab w:val="center" w:pos="4153"/>
        <w:tab w:val="right" w:pos="8306"/>
      </w:tabs>
      <w:snapToGrid w:val="0"/>
      <w:spacing w:line="240" w:lineRule="atLeast"/>
    </w:pPr>
    <w:rPr>
      <w:sz w:val="18"/>
      <w:szCs w:val="18"/>
    </w:rPr>
  </w:style>
  <w:style w:type="character" w:customStyle="1" w:styleId="a8">
    <w:name w:val="页脚 字符"/>
    <w:basedOn w:val="a0"/>
    <w:link w:val="a7"/>
    <w:uiPriority w:val="99"/>
    <w:rsid w:val="0026455A"/>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xinze</cp:lastModifiedBy>
  <cp:revision>16</cp:revision>
  <dcterms:created xsi:type="dcterms:W3CDTF">2023-10-31T03:03:00Z</dcterms:created>
  <dcterms:modified xsi:type="dcterms:W3CDTF">2025-05-09T01:48:00Z</dcterms:modified>
</cp:coreProperties>
</file>